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73" w:rsidRDefault="00944FE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943600" cy="2597536"/>
            <wp:effectExtent l="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5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5076" w:type="pct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2"/>
      </w:tblGrid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Beste heer/mevrouw ,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Mede namens Prof. Pelger bent u van harte uitgenodigd voor de Mirrors of Medicine* nascholing waar de behandelopties van de verschillende ziekte-stadia binnen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prostaatkanker worden besproken: een vertaalslag van de laatste ontwikkelingen naar de dagelijkse praktijk. 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Datum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 w:line="285" w:lineRule="atLeast"/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Dinsdag 1 feb 2018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Locatie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tbl>
            <w:tblPr>
              <w:tblW w:w="57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07"/>
            </w:tblGrid>
            <w:tr w:rsidR="00390A73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570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0A73" w:rsidRPr="00944FED" w:rsidRDefault="00944FED">
                  <w:pPr>
                    <w:pStyle w:val="Default"/>
                    <w:rPr>
                      <w:lang w:val="nl-NL"/>
                    </w:rPr>
                  </w:pPr>
                  <w:r w:rsidRPr="00944FED">
                    <w:rPr>
                      <w:color w:val="4E5053"/>
                      <w:sz w:val="20"/>
                      <w:szCs w:val="20"/>
                      <w:lang w:val="nl-NL"/>
                    </w:rPr>
                    <w:t>Hotel Hilton Gardin Inn</w:t>
                  </w:r>
                </w:p>
                <w:p w:rsidR="00390A73" w:rsidRPr="00944FED" w:rsidRDefault="00944FED">
                  <w:pPr>
                    <w:pStyle w:val="Default"/>
                    <w:rPr>
                      <w:color w:val="4E5053"/>
                      <w:sz w:val="20"/>
                      <w:szCs w:val="20"/>
                      <w:lang w:val="nl-NL"/>
                    </w:rPr>
                  </w:pPr>
                  <w:r w:rsidRPr="00944FED">
                    <w:rPr>
                      <w:color w:val="4E5053"/>
                      <w:sz w:val="20"/>
                      <w:szCs w:val="20"/>
                      <w:lang w:val="nl-NL"/>
                    </w:rPr>
                    <w:t>Willem Einthovenstraat 3 342BH Oegstgeest</w:t>
                  </w:r>
                </w:p>
                <w:p w:rsidR="00390A73" w:rsidRDefault="00944FED">
                  <w:pPr>
                    <w:pStyle w:val="Default"/>
                  </w:pPr>
                  <w:r>
                    <w:rPr>
                      <w:color w:val="4E5053"/>
                      <w:sz w:val="20"/>
                      <w:szCs w:val="20"/>
                    </w:rPr>
                    <w:t>Tel: 071 711 1012</w:t>
                  </w:r>
                </w:p>
              </w:tc>
            </w:tr>
          </w:tbl>
          <w:p w:rsidR="00390A73" w:rsidRDefault="00390A73">
            <w:pPr>
              <w:spacing w:after="0" w:line="285" w:lineRule="atLeast"/>
            </w:pP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Programma</w:t>
            </w:r>
          </w:p>
          <w:p w:rsidR="00390A73" w:rsidRDefault="00390A7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8468"/>
            </w:tblGrid>
            <w:tr w:rsidR="00390A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</w:pPr>
                  <w:r>
                    <w:rPr>
                      <w:rFonts w:ascii="Verdana" w:eastAsia="Times New Roman" w:hAnsi="Verdana"/>
                      <w:b/>
                      <w:bCs/>
                      <w:color w:val="4E5054"/>
                      <w:sz w:val="17"/>
                      <w:szCs w:val="17"/>
                      <w:lang w:val="nl-NL" w:eastAsia="nl-NL"/>
                    </w:rPr>
                    <w:t>Tijd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</w:pPr>
                  <w:r>
                    <w:rPr>
                      <w:rFonts w:ascii="Verdana" w:eastAsia="Times New Roman" w:hAnsi="Verdana"/>
                      <w:b/>
                      <w:bCs/>
                      <w:color w:val="4E5054"/>
                      <w:sz w:val="17"/>
                      <w:szCs w:val="17"/>
                      <w:lang w:val="nl-NL" w:eastAsia="nl-NL"/>
                    </w:rPr>
                    <w:t>Activiteit</w:t>
                  </w:r>
                </w:p>
              </w:tc>
            </w:tr>
            <w:tr w:rsidR="00390A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18.00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Ontvangst met dinerbuffet</w:t>
                  </w:r>
                </w:p>
              </w:tc>
            </w:tr>
            <w:tr w:rsidR="00390A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18.30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Pr="00944FED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u w:val="single"/>
                      <w:lang w:eastAsia="nl-NL"/>
                    </w:rPr>
                  </w:pP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u w:val="single"/>
                      <w:lang w:eastAsia="nl-NL"/>
                    </w:rPr>
                    <w:t>Deel 1:</w:t>
                  </w:r>
                </w:p>
                <w:p w:rsidR="00390A73" w:rsidRDefault="00944FED">
                  <w:pPr>
                    <w:spacing w:after="0"/>
                  </w:pP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Advanced prostate cancer (hormone sensitive metastatic prostate cancer &amp; castration-resistant metastatic prostate cancer) (</w:t>
                  </w:r>
                  <w:r w:rsidRPr="00944FED">
                    <w:rPr>
                      <w:rFonts w:ascii="Verdana" w:eastAsia="Times New Roman" w:hAnsi="Verdana"/>
                      <w:i/>
                      <w:color w:val="4E5054"/>
                      <w:sz w:val="17"/>
                      <w:szCs w:val="17"/>
                      <w:lang w:eastAsia="nl-NL"/>
                    </w:rPr>
                    <w:t>Presentatie en interactieve discussie</w:t>
                  </w: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)</w:t>
                  </w:r>
                </w:p>
              </w:tc>
            </w:tr>
            <w:tr w:rsidR="00390A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19.30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Pauze</w:t>
                  </w:r>
                </w:p>
              </w:tc>
            </w:tr>
            <w:tr w:rsidR="00390A73" w:rsidRPr="00944F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19.45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Pr="00944FED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u w:val="single"/>
                      <w:lang w:eastAsia="nl-NL"/>
                    </w:rPr>
                  </w:pP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u w:val="single"/>
                      <w:lang w:eastAsia="nl-NL"/>
                    </w:rPr>
                    <w:t>Deel 2:</w:t>
                  </w:r>
                </w:p>
                <w:p w:rsidR="00390A73" w:rsidRDefault="00944FED">
                  <w:pPr>
                    <w:spacing w:after="0"/>
                  </w:pP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 xml:space="preserve">Case </w:t>
                  </w: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discussions - from diagnose to mCRPC. What do peers, expert panel, literature &amp; guidelines say? (</w:t>
                  </w:r>
                  <w:r w:rsidRPr="00944FED">
                    <w:rPr>
                      <w:rFonts w:ascii="Verdana" w:eastAsia="Times New Roman" w:hAnsi="Verdana"/>
                      <w:i/>
                      <w:color w:val="4E5054"/>
                      <w:sz w:val="17"/>
                      <w:szCs w:val="17"/>
                      <w:lang w:eastAsia="nl-NL"/>
                    </w:rPr>
                    <w:t>Presentatie en interactieve discussie</w:t>
                  </w: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) Advanced prostate cancer (hormone sensitive metastatic prostate cancer &amp; castration-resistant metastatic prostate cancer</w:t>
                  </w: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) (</w:t>
                  </w:r>
                  <w:r w:rsidRPr="00944FED">
                    <w:rPr>
                      <w:rFonts w:ascii="Verdana" w:eastAsia="Times New Roman" w:hAnsi="Verdana"/>
                      <w:i/>
                      <w:color w:val="4E5054"/>
                      <w:sz w:val="17"/>
                      <w:szCs w:val="17"/>
                      <w:lang w:eastAsia="nl-NL"/>
                    </w:rPr>
                    <w:t>Presentatie en interactieve discussie</w:t>
                  </w:r>
                  <w:r w:rsidRPr="00944FED"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  <w:t>)</w:t>
                  </w:r>
                </w:p>
                <w:p w:rsidR="00390A73" w:rsidRPr="00944FED" w:rsidRDefault="00390A73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eastAsia="nl-NL"/>
                    </w:rPr>
                  </w:pPr>
                </w:p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Moderator deze avond is:</w:t>
                  </w:r>
                </w:p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Prof. R. Pelger, Uroloog, LUMC</w:t>
                  </w:r>
                </w:p>
              </w:tc>
            </w:tr>
            <w:tr w:rsidR="00390A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20.45</w:t>
                  </w:r>
                </w:p>
              </w:tc>
              <w:tc>
                <w:tcPr>
                  <w:tcW w:w="8468" w:type="dxa"/>
                  <w:tcBorders>
                    <w:top w:val="single" w:sz="6" w:space="0" w:color="EFEEEE"/>
                    <w:left w:val="single" w:sz="6" w:space="0" w:color="EFEEEE"/>
                    <w:bottom w:val="single" w:sz="6" w:space="0" w:color="EFEEEE"/>
                    <w:right w:val="single" w:sz="6" w:space="0" w:color="EFEEEE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90A73" w:rsidRDefault="00944FED">
                  <w:pPr>
                    <w:spacing w:after="0"/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</w:pPr>
                  <w:r>
                    <w:rPr>
                      <w:rFonts w:ascii="Verdana" w:eastAsia="Times New Roman" w:hAnsi="Verdana"/>
                      <w:color w:val="4E5054"/>
                      <w:sz w:val="17"/>
                      <w:szCs w:val="17"/>
                      <w:lang w:val="nl-NL" w:eastAsia="nl-NL"/>
                    </w:rPr>
                    <w:t>Afsluiting</w:t>
                  </w:r>
                </w:p>
              </w:tc>
            </w:tr>
          </w:tbl>
          <w:p w:rsidR="00390A73" w:rsidRDefault="00390A73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nl-NL" w:eastAsia="nl-NL"/>
              </w:rPr>
            </w:pP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390A7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  <w:p w:rsidR="00390A73" w:rsidRDefault="00390A7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  <w:p w:rsidR="00390A73" w:rsidRDefault="00390A73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</w:p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Doel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lastRenderedPageBreak/>
              <w:t xml:space="preserve">Gedurende deze interactieve en multidisciplinaire avond kunt u aan de hand van casuïstieken met uw collegae discussiëren over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de beste behandelopties op basis van de meest recente literatuur en richtlijnen. 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Accreditatie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Het wetenschappelijke programma van deze nascholing duurt 2,5 uur en is met 2 punten geaccrediteerd door de NVMO, NVU, NVZA, NIV, NVRO, V&amp;VN en de VSR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. 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Doelg</w:t>
            </w: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roep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Urologen (i.o.), internist-oncologen (i.o.), radiotherapeuten (i.o.), (ziekenhuis)apothekers (i.o.), verpleegkundig specialisten en physician assistants. 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Kosten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Aan deze nascholing zijn geen kosten verbonden. 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/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color w:val="850051"/>
                <w:sz w:val="21"/>
                <w:szCs w:val="21"/>
                <w:lang w:val="nl-NL" w:eastAsia="nl-NL"/>
              </w:rPr>
              <w:t>Aanmelden</w:t>
            </w:r>
          </w:p>
        </w:tc>
      </w:tr>
      <w:tr w:rsidR="00390A73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Default="00944FED">
            <w:pPr>
              <w:spacing w:after="0" w:line="285" w:lineRule="atLeast"/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U meldt zich voor deze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nascholing aan door een e-mail te sturen naar Miranda Oosterling: </w:t>
            </w:r>
            <w:hyperlink r:id="rId7" w:history="1">
              <w:r w:rsidRPr="00944FED">
                <w:rPr>
                  <w:color w:val="4E5054"/>
                  <w:lang w:val="nl-NL"/>
                </w:rPr>
                <w:t>moosterl@its.jnj.com</w:t>
              </w:r>
            </w:hyperlink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Aarzel niet mij te contacteren voor verdere informatie en hopelijk mag ik u verwelkomen op de nascholing!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b/>
                <w:color w:val="4E5054"/>
                <w:sz w:val="20"/>
                <w:szCs w:val="20"/>
                <w:lang w:val="nl-NL" w:eastAsia="nl-NL"/>
              </w:rPr>
              <w:t>Bas Willems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br/>
            </w: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Product Specialist Oncologie</w:t>
            </w:r>
          </w:p>
          <w:p w:rsidR="00390A73" w:rsidRDefault="00944FED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 xml:space="preserve">Tel: 06 38001629 </w:t>
            </w:r>
          </w:p>
          <w:p w:rsidR="00390A73" w:rsidRDefault="00944FED">
            <w:pPr>
              <w:spacing w:after="0" w:line="285" w:lineRule="atLeast"/>
            </w:pPr>
            <w:r>
              <w:rPr>
                <w:rFonts w:ascii="Verdana" w:eastAsia="Times New Roman" w:hAnsi="Verdana"/>
                <w:color w:val="4E5054"/>
                <w:sz w:val="20"/>
                <w:szCs w:val="20"/>
                <w:lang w:val="nl-NL" w:eastAsia="nl-NL"/>
              </w:rPr>
              <w:t>Bwillem9@its.jnj.com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390A73" w:rsidRDefault="00390A73">
            <w:pPr>
              <w:spacing w:after="0" w:line="285" w:lineRule="atLeast"/>
              <w:rPr>
                <w:rFonts w:ascii="Verdana" w:eastAsia="Times New Roman" w:hAnsi="Verdana"/>
                <w:color w:val="4E5054"/>
                <w:sz w:val="14"/>
                <w:szCs w:val="14"/>
                <w:lang w:val="nl-NL" w:eastAsia="nl-NL"/>
              </w:rPr>
            </w:pPr>
          </w:p>
          <w:p w:rsidR="00390A73" w:rsidRPr="00944FED" w:rsidRDefault="00944FED">
            <w:pPr>
              <w:spacing w:after="0" w:line="285" w:lineRule="atLeas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14"/>
                <w:szCs w:val="14"/>
                <w:lang w:val="nl-NL" w:eastAsia="nl-NL"/>
              </w:rPr>
              <w:t>*</w:t>
            </w:r>
            <w:r>
              <w:rPr>
                <w:rFonts w:ascii="Verdana" w:eastAsia="Times New Roman" w:hAnsi="Verdana"/>
                <w:b/>
                <w:color w:val="4E5054"/>
                <w:sz w:val="14"/>
                <w:szCs w:val="14"/>
                <w:lang w:val="nl-NL" w:eastAsia="nl-NL"/>
              </w:rPr>
              <w:t xml:space="preserve">Mirrors of Medicine </w:t>
            </w:r>
            <w:r>
              <w:rPr>
                <w:rFonts w:ascii="Verdana" w:eastAsia="Times New Roman" w:hAnsi="Verdana"/>
                <w:color w:val="4E5054"/>
                <w:sz w:val="14"/>
                <w:szCs w:val="14"/>
                <w:lang w:val="nl-NL" w:eastAsia="nl-NL"/>
              </w:rPr>
              <w:t xml:space="preserve">is een Continu Medisch Educatie (CME) programma, waarvan klinische beslismodellen de basis vormen. Deze modellen zijn opgesteld door een team van internationale </w:t>
            </w:r>
            <w:r>
              <w:rPr>
                <w:rFonts w:ascii="Verdana" w:eastAsia="Times New Roman" w:hAnsi="Verdana"/>
                <w:color w:val="4E5054"/>
                <w:sz w:val="14"/>
                <w:szCs w:val="14"/>
                <w:lang w:val="nl-NL" w:eastAsia="nl-NL"/>
              </w:rPr>
              <w:t>experts binnen de oncologie, urologie en radiotherapie. “Mirrors of Medicine” biedt u de mogelijkheid om de wetenschappelijke kennis toe te passen op patiëntniveau en zo de praktische vertaalslag te maken naar uw eigen praktijk. Gedurende deze interactieve</w:t>
            </w:r>
            <w:r>
              <w:rPr>
                <w:rFonts w:ascii="Verdana" w:eastAsia="Times New Roman" w:hAnsi="Verdana"/>
                <w:color w:val="4E5054"/>
                <w:sz w:val="14"/>
                <w:szCs w:val="14"/>
                <w:lang w:val="nl-NL" w:eastAsia="nl-NL"/>
              </w:rPr>
              <w:t xml:space="preserve"> en multidisciplinaire sessie kunt u met uw collegae discussiëren over de beste behandelopties voor specifieke patiëntpofielen aan de hand van de meest recente literatuur en richtlijnen. </w:t>
            </w:r>
          </w:p>
        </w:tc>
      </w:tr>
      <w:tr w:rsidR="00390A73" w:rsidRPr="00944FED">
        <w:tblPrEx>
          <w:tblCellMar>
            <w:top w:w="0" w:type="dxa"/>
            <w:bottom w:w="0" w:type="dxa"/>
          </w:tblCellMar>
        </w:tblPrEx>
        <w:tc>
          <w:tcPr>
            <w:tcW w:w="9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A73" w:rsidRPr="00944FED" w:rsidRDefault="00944FED">
            <w:pPr>
              <w:spacing w:after="0" w:line="285" w:lineRule="atLeast"/>
              <w:jc w:val="right"/>
              <w:rPr>
                <w:lang w:val="nl-NL"/>
              </w:rPr>
            </w:pPr>
            <w:r>
              <w:rPr>
                <w:rFonts w:ascii="Verdana" w:eastAsia="Times New Roman" w:hAnsi="Verdana"/>
                <w:color w:val="4E5054"/>
                <w:sz w:val="15"/>
                <w:szCs w:val="15"/>
                <w:lang w:val="nl-NL" w:eastAsia="nl-NL"/>
              </w:rPr>
              <w:t>© Janssen-Cilag B.V. - PHNL/ZYT/0816/0002b(1)</w:t>
            </w:r>
          </w:p>
        </w:tc>
      </w:tr>
    </w:tbl>
    <w:p w:rsidR="00390A73" w:rsidRDefault="00390A73">
      <w:pPr>
        <w:jc w:val="right"/>
        <w:rPr>
          <w:lang w:val="nl-NL"/>
        </w:rPr>
      </w:pPr>
    </w:p>
    <w:p w:rsidR="00390A73" w:rsidRDefault="00390A73">
      <w:pPr>
        <w:jc w:val="right"/>
        <w:rPr>
          <w:lang w:val="nl-NL"/>
        </w:rPr>
      </w:pPr>
    </w:p>
    <w:p w:rsidR="00390A73" w:rsidRDefault="00944FED">
      <w:pPr>
        <w:jc w:val="right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360295" cy="1403988"/>
                <wp:effectExtent l="0" t="0" r="1905" b="5712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90A73" w:rsidRDefault="00944FED">
                            <w:r>
                              <w:rPr>
                                <w:rFonts w:eastAsia="Times New Roman" w:cs="Calibri"/>
                                <w:noProof/>
                                <w:color w:val="4E5054"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066803" cy="152403"/>
                                  <wp:effectExtent l="0" t="0" r="0" b="0"/>
                                  <wp:docPr id="2" name="Picture 13" descr="Janssen-Cilag NV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3" cy="15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5pt;width:185.85pt;height:110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7+5wEAALsDAAAOAAAAZHJzL2Uyb0RvYy54bWysU9uO2jAQfa/Uf7D8XhICu4WIsGoXUVVa&#10;tZXY/QDHcYgl3zo2JPTrO3ZYoO3bqnlw5uaTOWcmq4dBK3IU4KU1FZ1OckqE4baRZl/Rl+fthwUl&#10;PjDTMGWNqOhJePqwfv9u1btSFLazqhFAEMT4sncV7UJwZZZ53gnN/MQ6YTDZWtAsoAv7rAHWI7pW&#10;WZHn91lvoXFgufAeo5sxSdcJv20FD9/b1otAVEWxt5BOSGcdz2y9YuUemOskP7fB3tCFZtLgRy9Q&#10;GxYYOYD8B0pLDtbbNky41ZltW8lF4oBspvlfbHYdcyJxQXG8u8jk/x8s/3b8AUQ2FZ1RYpjGET2L&#10;IZDPdiBFVKd3vsSincOyMGAYp/wa9xiMpIcWdHwjHYJ51Pl00TaCcQwWs/u8WN5RwjE3neez5WIR&#10;cbLrdQc+fBFWk2hUFHB4SVN2fPJhLH0tiV/zVslmK5VKDuzrRwXkyHDQ2/Sc0f8oUyYWGxuvpdFH&#10;wA3z3Qgf01lkPDKLVhjqAZPRrG1zQhVw27G7zsIvSnrcnIr6nwcGghL11eBoltP5PK5acuZ3Hwt0&#10;4DZT32aY4QhV0UDJaD6GcT1xPxwLT2bneBQzkXSfDgF7T2JcOzr3jBuS5Dxvc1zBWz9VXf+59W8A&#10;AAD//wMAUEsDBBQABgAIAAAAIQAzKUxV3QAAAAcBAAAPAAAAZHJzL2Rvd25yZXYueG1sTI/NTsMw&#10;EITvSLyDtUjcqJOmPyiNUyEkLqgHWjhwdONtHBKvQ+y04e1ZTvQ4mtHMN8V2cp044xAaTwrSWQIC&#10;qfKmoVrBx/vLwyOIEDUZ3XlCBT8YYFve3hQ6N/5CezwfYi24hEKuFdgY+1zKUFl0Osx8j8TeyQ9O&#10;R5ZDLc2gL1zuOjlPkpV0uiFesLrHZ4tVexgdj+xCNe7991e6a+WnbVd6+WZflbq/m542ICJO8T8M&#10;f/iMDiUzHf1IJohOAR+JCrIsA8Futk7XII4K5svFAmRZyGv+8hcAAP//AwBQSwECLQAUAAYACAAA&#10;ACEAtoM4kv4AAADhAQAAEwAAAAAAAAAAAAAAAAAAAAAAW0NvbnRlbnRfVHlwZXNdLnhtbFBLAQIt&#10;ABQABgAIAAAAIQA4/SH/1gAAAJQBAAALAAAAAAAAAAAAAAAAAC8BAABfcmVscy8ucmVsc1BLAQIt&#10;ABQABgAIAAAAIQBDNY7+5wEAALsDAAAOAAAAAAAAAAAAAAAAAC4CAABkcnMvZTJvRG9jLnhtbFBL&#10;AQItABQABgAIAAAAIQAzKUxV3QAAAAcBAAAPAAAAAAAAAAAAAAAAAEEEAABkcnMvZG93bnJldi54&#10;bWxQSwUGAAAAAAQABADzAAAASwUAAAAA&#10;" stroked="f">
                <v:textbox style="mso-fit-shape-to-text:t">
                  <w:txbxContent>
                    <w:p w:rsidR="00390A73" w:rsidRDefault="00944FED">
                      <w:r>
                        <w:rPr>
                          <w:rFonts w:eastAsia="Times New Roman" w:cs="Calibri"/>
                          <w:noProof/>
                          <w:color w:val="4E5054"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>
                            <wp:extent cx="1066803" cy="152403"/>
                            <wp:effectExtent l="0" t="0" r="0" b="0"/>
                            <wp:docPr id="2" name="Picture 13" descr="Janssen-Cilag NV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3" cy="15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eastAsia="Times New Roman" w:hAnsi="Verdana"/>
          <w:noProof/>
          <w:color w:val="4E5054"/>
          <w:sz w:val="20"/>
          <w:szCs w:val="20"/>
          <w:lang w:val="nl-NL" w:eastAsia="nl-NL"/>
        </w:rPr>
        <w:drawing>
          <wp:inline distT="0" distB="0" distL="0" distR="0">
            <wp:extent cx="2333621" cy="800100"/>
            <wp:effectExtent l="0" t="0" r="0" b="0"/>
            <wp:docPr id="4" name="Picture 14" descr="Janssen - Pharmaceutical companies of Johnson&amp;John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90A73">
      <w:pgSz w:w="12240" w:h="15840"/>
      <w:pgMar w:top="567" w:right="1440" w:bottom="79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4FED">
      <w:pPr>
        <w:spacing w:after="0"/>
      </w:pPr>
      <w:r>
        <w:separator/>
      </w:r>
    </w:p>
  </w:endnote>
  <w:endnote w:type="continuationSeparator" w:id="0">
    <w:p w:rsidR="00000000" w:rsidRDefault="00944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4F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44F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0A73"/>
    <w:rsid w:val="00390A73"/>
    <w:rsid w:val="009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8B27F0-0650-472A-9095-85A52EA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oosterl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Mangelaars, Maartje [JRDNL]</dc:creator>
  <dc:description/>
  <cp:lastModifiedBy>Oosterling, Miranda [JACNL]</cp:lastModifiedBy>
  <cp:revision>2</cp:revision>
  <cp:lastPrinted>2017-04-13T13:10:00Z</cp:lastPrinted>
  <dcterms:created xsi:type="dcterms:W3CDTF">2017-12-05T12:36:00Z</dcterms:created>
  <dcterms:modified xsi:type="dcterms:W3CDTF">2017-12-05T12:36:00Z</dcterms:modified>
</cp:coreProperties>
</file>